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FC4" w:rsidRDefault="007D44CF">
      <w:pPr>
        <w:pBdr>
          <w:bottom w:val="single" w:sz="12" w:space="1" w:color="auto"/>
        </w:pBdr>
        <w:rPr>
          <w:rFonts w:asciiTheme="majorHAnsi" w:hAnsiTheme="majorHAnsi"/>
          <w:color w:val="984806" w:themeColor="accent6" w:themeShade="80"/>
          <w:sz w:val="48"/>
          <w:szCs w:val="48"/>
        </w:rPr>
      </w:pPr>
      <w:bookmarkStart w:id="0" w:name="_GoBack"/>
      <w:bookmarkEnd w:id="0"/>
      <w:r w:rsidRPr="007D44CF">
        <w:rPr>
          <w:rFonts w:asciiTheme="majorHAnsi" w:hAnsiTheme="majorHAnsi"/>
          <w:color w:val="984806" w:themeColor="accent6" w:themeShade="80"/>
          <w:sz w:val="48"/>
          <w:szCs w:val="48"/>
        </w:rPr>
        <w:t>Executive Summary: What is MACRA?</w:t>
      </w:r>
    </w:p>
    <w:p w:rsidR="007D44CF" w:rsidRPr="00DE0F32" w:rsidRDefault="007D44CF" w:rsidP="007D44CF">
      <w:pPr>
        <w:pStyle w:val="NoSpacing"/>
        <w:rPr>
          <w:rFonts w:ascii="Cambria" w:hAnsi="Cambria"/>
        </w:rPr>
      </w:pPr>
      <w:r w:rsidRPr="00DE0F32">
        <w:rPr>
          <w:rFonts w:ascii="Cambria" w:hAnsi="Cambria"/>
        </w:rPr>
        <w:t xml:space="preserve">On April 27, 2016 the Department of Health and Human Services issued a Proposed Rule to implement provisions of the Medicare Access and CHIP Reauthorization Act of 2015 (MACRA). MACRA was bipartisan legislation that replaced the Sustainable Growth Rate formula with a new payment system based on value and quality of care provided by clinicians. The proposed rule would implement these changes though the “Quality Payment Program” (QPP) which included two </w:t>
      </w:r>
      <w:proofErr w:type="gramStart"/>
      <w:r w:rsidRPr="00DE0F32">
        <w:rPr>
          <w:rFonts w:ascii="Cambria" w:hAnsi="Cambria"/>
        </w:rPr>
        <w:t>tracks,</w:t>
      </w:r>
      <w:proofErr w:type="gramEnd"/>
      <w:r w:rsidRPr="00DE0F32">
        <w:rPr>
          <w:rFonts w:ascii="Cambria" w:hAnsi="Cambria"/>
        </w:rPr>
        <w:t xml:space="preserve"> Merit-based Incentive Payment System (</w:t>
      </w:r>
      <w:r>
        <w:rPr>
          <w:rFonts w:ascii="Cambria" w:hAnsi="Cambria"/>
        </w:rPr>
        <w:t>MIPS</w:t>
      </w:r>
      <w:r w:rsidRPr="00DE0F32">
        <w:rPr>
          <w:rFonts w:ascii="Cambria" w:hAnsi="Cambria"/>
        </w:rPr>
        <w:t xml:space="preserve">) and Alternative Payment Models (APMs). </w:t>
      </w:r>
    </w:p>
    <w:p w:rsidR="007D44CF" w:rsidRPr="00DE0F32" w:rsidRDefault="007D44CF" w:rsidP="007D44CF">
      <w:pPr>
        <w:pStyle w:val="NoSpacing"/>
        <w:rPr>
          <w:rFonts w:ascii="Cambria" w:hAnsi="Cambria"/>
        </w:rPr>
      </w:pPr>
    </w:p>
    <w:p w:rsidR="007D44CF" w:rsidRPr="00DE0F32" w:rsidRDefault="007D44CF" w:rsidP="007D44CF">
      <w:pPr>
        <w:pStyle w:val="NoSpacing"/>
        <w:rPr>
          <w:rFonts w:ascii="Cambria" w:hAnsi="Cambria"/>
        </w:rPr>
      </w:pPr>
      <w:r w:rsidRPr="00DE0F32">
        <w:rPr>
          <w:rFonts w:ascii="Cambria" w:hAnsi="Cambria"/>
        </w:rPr>
        <w:t xml:space="preserve">The following gives a 10,000ft overview of the proposed rule. </w:t>
      </w:r>
    </w:p>
    <w:p w:rsidR="007D44CF" w:rsidRPr="007D44CF" w:rsidRDefault="007D44CF" w:rsidP="007D44CF">
      <w:pPr>
        <w:pStyle w:val="NoSpacing"/>
        <w:rPr>
          <w:rFonts w:ascii="Cambria" w:hAnsi="Cambria"/>
          <w:color w:val="943634" w:themeColor="accent2" w:themeShade="BF"/>
          <w:u w:val="single"/>
        </w:rPr>
      </w:pPr>
    </w:p>
    <w:p w:rsidR="007D44CF" w:rsidRPr="007D44CF" w:rsidRDefault="007D44CF" w:rsidP="007D44CF">
      <w:pPr>
        <w:pStyle w:val="NoSpacing"/>
        <w:rPr>
          <w:rFonts w:ascii="Cambria" w:eastAsia="Times New Roman" w:hAnsi="Cambria" w:cs="Times New Roman"/>
          <w:b/>
          <w:color w:val="943634" w:themeColor="accent2" w:themeShade="BF"/>
          <w:u w:val="single"/>
        </w:rPr>
      </w:pPr>
      <w:r w:rsidRPr="007D44CF">
        <w:rPr>
          <w:rFonts w:ascii="Cambria" w:hAnsi="Cambria"/>
          <w:b/>
          <w:color w:val="943634" w:themeColor="accent2" w:themeShade="BF"/>
          <w:u w:val="single"/>
        </w:rPr>
        <w:t>Merit-based Incentive Payment System (MIPs)</w:t>
      </w:r>
    </w:p>
    <w:p w:rsidR="007D44CF" w:rsidRPr="00DE0F32" w:rsidRDefault="007D44CF" w:rsidP="007D44CF">
      <w:pPr>
        <w:pStyle w:val="NoSpacing"/>
        <w:rPr>
          <w:rFonts w:ascii="Cambria" w:eastAsia="Times New Roman" w:hAnsi="Cambria" w:cs="Times New Roman"/>
          <w:color w:val="000000"/>
        </w:rPr>
      </w:pPr>
      <w:r w:rsidRPr="00DE0F32">
        <w:rPr>
          <w:rFonts w:ascii="Cambria" w:eastAsia="Times New Roman" w:hAnsi="Cambria" w:cs="Times New Roman"/>
          <w:color w:val="000000"/>
        </w:rPr>
        <w:t>Most Medicare clinicians will initially participate in the Q</w:t>
      </w:r>
      <w:r>
        <w:rPr>
          <w:rFonts w:ascii="Cambria" w:eastAsia="Times New Roman" w:hAnsi="Cambria" w:cs="Times New Roman"/>
          <w:color w:val="000000"/>
        </w:rPr>
        <w:t xml:space="preserve">PP through MIPS. </w:t>
      </w:r>
      <w:r w:rsidRPr="00DE0F32">
        <w:rPr>
          <w:rFonts w:ascii="Cambria" w:eastAsia="Times New Roman" w:hAnsi="Cambria" w:cs="Times New Roman"/>
          <w:color w:val="000000"/>
        </w:rPr>
        <w:t xml:space="preserve">MIPS </w:t>
      </w:r>
      <w:proofErr w:type="gramStart"/>
      <w:r w:rsidRPr="00DE0F32">
        <w:rPr>
          <w:rFonts w:ascii="Cambria" w:eastAsia="Times New Roman" w:hAnsi="Cambria" w:cs="Times New Roman"/>
          <w:color w:val="000000"/>
        </w:rPr>
        <w:t>allows</w:t>
      </w:r>
      <w:proofErr w:type="gramEnd"/>
      <w:r w:rsidRPr="00DE0F32">
        <w:rPr>
          <w:rFonts w:ascii="Cambria" w:eastAsia="Times New Roman" w:hAnsi="Cambria" w:cs="Times New Roman"/>
          <w:color w:val="000000"/>
        </w:rPr>
        <w:t xml:space="preserve"> Medicare clinicians to be paid for providing high value care through success in four performance categories: Quality, Advancing Care Information, Clinical Practice Improvement Activities, and Cost.</w:t>
      </w:r>
      <w:r w:rsidRPr="00324687">
        <w:rPr>
          <w:rFonts w:ascii="Cambria" w:eastAsia="Times New Roman" w:hAnsi="Cambria" w:cs="Times New Roman"/>
          <w:color w:val="000000"/>
        </w:rPr>
        <w:t xml:space="preserve"> </w:t>
      </w:r>
      <w:r w:rsidRPr="00DE0F32">
        <w:rPr>
          <w:rFonts w:ascii="Cambria" w:eastAsia="Times New Roman" w:hAnsi="Cambria" w:cs="Times New Roman"/>
          <w:color w:val="000000"/>
        </w:rPr>
        <w:t>CMS would begin measuring performance for doctors and other clinicians through MIPS in 2017, with payments based on those measures beginning in 2019.</w:t>
      </w:r>
    </w:p>
    <w:p w:rsidR="007D44CF" w:rsidRDefault="007D44CF" w:rsidP="007D44CF">
      <w:pPr>
        <w:pStyle w:val="NoSpacing"/>
        <w:rPr>
          <w:rFonts w:ascii="Cambria" w:eastAsia="Times New Roman" w:hAnsi="Cambria" w:cs="Times New Roman"/>
          <w:b/>
          <w:bCs/>
          <w:color w:val="000000"/>
        </w:rPr>
      </w:pPr>
    </w:p>
    <w:p w:rsidR="007D44CF" w:rsidRPr="00DE0F32" w:rsidRDefault="007D44CF" w:rsidP="007D44CF">
      <w:pPr>
        <w:pStyle w:val="NoSpacing"/>
        <w:rPr>
          <w:rFonts w:ascii="Cambria" w:eastAsia="Times New Roman" w:hAnsi="Cambria" w:cs="Times New Roman"/>
          <w:color w:val="000000"/>
        </w:rPr>
      </w:pPr>
      <w:r w:rsidRPr="00DE0F32">
        <w:rPr>
          <w:rFonts w:ascii="Cambria" w:eastAsia="Times New Roman" w:hAnsi="Cambria" w:cs="Times New Roman"/>
          <w:b/>
          <w:bCs/>
          <w:i/>
          <w:color w:val="000000"/>
        </w:rPr>
        <w:t>Quality (50 percent of total score in year 1)</w:t>
      </w:r>
      <w:r w:rsidRPr="00DE0F32">
        <w:rPr>
          <w:rFonts w:ascii="Cambria" w:eastAsia="Times New Roman" w:hAnsi="Cambria" w:cs="Times New Roman"/>
          <w:i/>
          <w:color w:val="000000"/>
        </w:rPr>
        <w:t>:</w:t>
      </w:r>
      <w:r w:rsidRPr="00DE0F32">
        <w:rPr>
          <w:rFonts w:ascii="Cambria" w:eastAsia="Times New Roman" w:hAnsi="Cambria" w:cs="Times New Roman"/>
          <w:color w:val="000000"/>
        </w:rPr>
        <w:t xml:space="preserve"> For this category, clinicians would choose to report six measures from among a range of options that accommodate differences among specialties and practices.</w:t>
      </w:r>
    </w:p>
    <w:p w:rsidR="007D44CF" w:rsidRDefault="007D44CF" w:rsidP="007D44CF">
      <w:pPr>
        <w:pStyle w:val="NoSpacing"/>
        <w:rPr>
          <w:rFonts w:ascii="Cambria" w:eastAsia="Times New Roman" w:hAnsi="Cambria" w:cs="Times New Roman"/>
          <w:b/>
          <w:bCs/>
          <w:color w:val="000000"/>
        </w:rPr>
      </w:pPr>
    </w:p>
    <w:p w:rsidR="007D44CF" w:rsidRPr="00DE0F32" w:rsidRDefault="007D44CF" w:rsidP="007D44CF">
      <w:pPr>
        <w:pStyle w:val="NoSpacing"/>
        <w:rPr>
          <w:rFonts w:ascii="Cambria" w:eastAsia="Times New Roman" w:hAnsi="Cambria" w:cs="Times New Roman"/>
          <w:color w:val="000000"/>
        </w:rPr>
      </w:pPr>
      <w:proofErr w:type="gramStart"/>
      <w:r w:rsidRPr="00DE0F32">
        <w:rPr>
          <w:rFonts w:ascii="Cambria" w:eastAsia="Times New Roman" w:hAnsi="Cambria" w:cs="Times New Roman"/>
          <w:b/>
          <w:bCs/>
          <w:i/>
          <w:color w:val="000000"/>
        </w:rPr>
        <w:t>Advancing Care Information (25 percent of total score in year 1)</w:t>
      </w:r>
      <w:r w:rsidRPr="00DE0F32">
        <w:rPr>
          <w:rFonts w:ascii="Cambria" w:eastAsia="Times New Roman" w:hAnsi="Cambria" w:cs="Times New Roman"/>
          <w:i/>
          <w:color w:val="000000"/>
        </w:rPr>
        <w:t>:</w:t>
      </w:r>
      <w:r w:rsidRPr="00DE0F32">
        <w:rPr>
          <w:rFonts w:ascii="Cambria" w:eastAsia="Times New Roman" w:hAnsi="Cambria" w:cs="Times New Roman"/>
          <w:color w:val="000000"/>
        </w:rPr>
        <w:t xml:space="preserve"> For this category, clinicians would choose to report customizable measures that reflect how they use technology in their day-to-day practice, with a particular emphasis on interoperability and information exchange.</w:t>
      </w:r>
      <w:proofErr w:type="gramEnd"/>
      <w:r w:rsidRPr="00DE0F32">
        <w:rPr>
          <w:rFonts w:ascii="Cambria" w:eastAsia="Times New Roman" w:hAnsi="Cambria" w:cs="Times New Roman"/>
          <w:color w:val="000000"/>
        </w:rPr>
        <w:t xml:space="preserve"> Unlike the existing reporting program, this category would not require all-or-nothing EHR measurement or redundant quality reporting.</w:t>
      </w:r>
    </w:p>
    <w:p w:rsidR="007D44CF" w:rsidRDefault="007D44CF" w:rsidP="007D44CF">
      <w:pPr>
        <w:pStyle w:val="NoSpacing"/>
        <w:rPr>
          <w:rFonts w:ascii="Cambria" w:eastAsia="Times New Roman" w:hAnsi="Cambria" w:cs="Times New Roman"/>
          <w:b/>
          <w:bCs/>
          <w:color w:val="000000"/>
        </w:rPr>
      </w:pPr>
    </w:p>
    <w:p w:rsidR="007D44CF" w:rsidRPr="00DE0F32" w:rsidRDefault="007D44CF" w:rsidP="007D44CF">
      <w:pPr>
        <w:pStyle w:val="NoSpacing"/>
        <w:rPr>
          <w:rFonts w:ascii="Cambria" w:eastAsia="Times New Roman" w:hAnsi="Cambria" w:cs="Times New Roman"/>
          <w:color w:val="000000"/>
        </w:rPr>
      </w:pPr>
      <w:r w:rsidRPr="00DE0F32">
        <w:rPr>
          <w:rFonts w:ascii="Cambria" w:eastAsia="Times New Roman" w:hAnsi="Cambria" w:cs="Times New Roman"/>
          <w:b/>
          <w:bCs/>
          <w:i/>
          <w:color w:val="000000"/>
        </w:rPr>
        <w:t>Clinical Practice Improvement Activities (15 percent of total score in year 1)</w:t>
      </w:r>
      <w:r w:rsidRPr="00DE0F32">
        <w:rPr>
          <w:rFonts w:ascii="Cambria" w:eastAsia="Times New Roman" w:hAnsi="Cambria" w:cs="Times New Roman"/>
          <w:i/>
          <w:color w:val="000000"/>
        </w:rPr>
        <w:t>:</w:t>
      </w:r>
      <w:r w:rsidRPr="00DE0F32">
        <w:rPr>
          <w:rFonts w:ascii="Cambria" w:eastAsia="Times New Roman" w:hAnsi="Cambria" w:cs="Times New Roman"/>
          <w:color w:val="000000"/>
        </w:rPr>
        <w:t xml:space="preserve"> This category would reward clinical practice improvements, such as activities focused on care coordination, beneficiary engagement, and patient safety. Clinicians may select activities that match their practices’ goals from a list of more than 90 options.</w:t>
      </w:r>
    </w:p>
    <w:p w:rsidR="007D44CF" w:rsidRDefault="007D44CF" w:rsidP="007D44CF">
      <w:pPr>
        <w:pStyle w:val="NoSpacing"/>
        <w:rPr>
          <w:rFonts w:ascii="Cambria" w:eastAsia="Times New Roman" w:hAnsi="Cambria" w:cs="Times New Roman"/>
          <w:b/>
          <w:bCs/>
          <w:color w:val="000000"/>
        </w:rPr>
      </w:pPr>
    </w:p>
    <w:p w:rsidR="007D44CF" w:rsidRPr="00DE0F32" w:rsidRDefault="007D44CF" w:rsidP="007D44CF">
      <w:pPr>
        <w:pStyle w:val="NoSpacing"/>
        <w:rPr>
          <w:rFonts w:ascii="Cambria" w:eastAsia="Times New Roman" w:hAnsi="Cambria" w:cs="Times New Roman"/>
          <w:color w:val="000000"/>
        </w:rPr>
      </w:pPr>
      <w:r w:rsidRPr="00DE0F32">
        <w:rPr>
          <w:rFonts w:ascii="Cambria" w:eastAsia="Times New Roman" w:hAnsi="Cambria" w:cs="Times New Roman"/>
          <w:b/>
          <w:bCs/>
          <w:i/>
          <w:color w:val="000000"/>
        </w:rPr>
        <w:t>Cost (10 percent of total score in year 1)</w:t>
      </w:r>
      <w:r w:rsidRPr="00DE0F32">
        <w:rPr>
          <w:rFonts w:ascii="Cambria" w:eastAsia="Times New Roman" w:hAnsi="Cambria" w:cs="Times New Roman"/>
          <w:i/>
          <w:color w:val="000000"/>
        </w:rPr>
        <w:t>:</w:t>
      </w:r>
      <w:r w:rsidRPr="00DE0F32">
        <w:rPr>
          <w:rFonts w:ascii="Cambria" w:eastAsia="Times New Roman" w:hAnsi="Cambria" w:cs="Times New Roman"/>
          <w:color w:val="000000"/>
        </w:rPr>
        <w:t xml:space="preserve"> For this category, the score would be based on Medicare claims, meaning no reporting requirements for clinicians. This category would use 40 episode-specific measures to account for differences among specialties.</w:t>
      </w:r>
    </w:p>
    <w:p w:rsidR="007D44CF" w:rsidRDefault="007D44CF" w:rsidP="007D44CF">
      <w:pPr>
        <w:pStyle w:val="NoSpacing"/>
        <w:rPr>
          <w:rFonts w:ascii="Cambria" w:hAnsi="Cambria"/>
        </w:rPr>
      </w:pPr>
      <w:r w:rsidRPr="00DE0F32">
        <w:rPr>
          <w:rFonts w:ascii="Cambria" w:eastAsia="Times New Roman" w:hAnsi="Cambria" w:cs="Times New Roman"/>
          <w:color w:val="000000"/>
        </w:rPr>
        <w:t xml:space="preserve">The proposed rule seeks to streamline and reduce reporting burden across all four categories, while adding flexibility for physician practices. </w:t>
      </w:r>
    </w:p>
    <w:p w:rsidR="007D44CF" w:rsidRPr="007D44CF" w:rsidRDefault="007D44CF" w:rsidP="007D44CF">
      <w:pPr>
        <w:pStyle w:val="NoSpacing"/>
        <w:rPr>
          <w:rFonts w:ascii="Cambria" w:hAnsi="Cambria"/>
          <w:color w:val="632423" w:themeColor="accent2" w:themeShade="80"/>
        </w:rPr>
      </w:pPr>
    </w:p>
    <w:p w:rsidR="007D44CF" w:rsidRPr="007D44CF" w:rsidRDefault="007D44CF" w:rsidP="007D44CF">
      <w:pPr>
        <w:pStyle w:val="NoSpacing"/>
        <w:rPr>
          <w:rFonts w:ascii="Cambria" w:hAnsi="Cambria"/>
          <w:b/>
          <w:color w:val="943634" w:themeColor="accent2" w:themeShade="BF"/>
          <w:u w:val="single"/>
        </w:rPr>
      </w:pPr>
      <w:r w:rsidRPr="007D44CF">
        <w:rPr>
          <w:rFonts w:ascii="Cambria" w:hAnsi="Cambria"/>
          <w:b/>
          <w:color w:val="943634" w:themeColor="accent2" w:themeShade="BF"/>
          <w:u w:val="single"/>
        </w:rPr>
        <w:t>Alternative Payment Models</w:t>
      </w:r>
    </w:p>
    <w:p w:rsidR="007D44CF" w:rsidRDefault="007D44CF" w:rsidP="007D44CF">
      <w:pPr>
        <w:pStyle w:val="NoSpacing"/>
        <w:rPr>
          <w:rFonts w:ascii="Cambria" w:hAnsi="Cambria"/>
        </w:rPr>
      </w:pPr>
      <w:r w:rsidRPr="002830C1">
        <w:rPr>
          <w:rFonts w:ascii="Cambria" w:hAnsi="Cambria"/>
        </w:rPr>
        <w:t xml:space="preserve">To continue to move the Medicare program away from FFS and towards a value-based payment system, QPP creates incentives for participation in Advanced APMs. For years 2019 through 2024, a clinician who meets the Advanced APM participation standards is excluded from MIPS adjustments and receives a 5 percent Medicare Part B incentive payment. For years 2026 and later, a clinician who meets these standards is excluded from MIPS adjustments and receives a higher fee schedule update than those clinicians who do not significantly participate in an Advanced APM. </w:t>
      </w:r>
    </w:p>
    <w:p w:rsidR="007D44CF" w:rsidRDefault="007D44CF" w:rsidP="007D44CF">
      <w:pPr>
        <w:pStyle w:val="NoSpacing"/>
        <w:rPr>
          <w:rFonts w:ascii="Cambria" w:hAnsi="Cambria"/>
        </w:rPr>
      </w:pPr>
      <w:r>
        <w:rPr>
          <w:rFonts w:ascii="Cambria" w:hAnsi="Cambria"/>
        </w:rPr>
        <w:t xml:space="preserve">QPP requires that Advanced APMs meet certain criteria. Eligible APMs must: </w:t>
      </w:r>
    </w:p>
    <w:p w:rsidR="007D44CF" w:rsidRDefault="007D44CF" w:rsidP="007D44CF">
      <w:pPr>
        <w:pStyle w:val="NoSpacing"/>
        <w:rPr>
          <w:rFonts w:ascii="Cambria" w:hAnsi="Cambria"/>
        </w:rPr>
      </w:pPr>
    </w:p>
    <w:p w:rsidR="007D44CF" w:rsidRDefault="007D44CF" w:rsidP="007D44CF">
      <w:pPr>
        <w:pStyle w:val="NoSpacing"/>
        <w:numPr>
          <w:ilvl w:val="0"/>
          <w:numId w:val="1"/>
        </w:numPr>
        <w:rPr>
          <w:rFonts w:ascii="Cambria" w:hAnsi="Cambria"/>
        </w:rPr>
      </w:pPr>
      <w:r>
        <w:rPr>
          <w:rFonts w:ascii="Cambria" w:hAnsi="Cambria"/>
        </w:rPr>
        <w:lastRenderedPageBreak/>
        <w:t>Require use of certified Electronic Health Records (EHR) technology;</w:t>
      </w:r>
    </w:p>
    <w:p w:rsidR="007D44CF" w:rsidRDefault="007D44CF" w:rsidP="007D44CF">
      <w:pPr>
        <w:pStyle w:val="NoSpacing"/>
        <w:numPr>
          <w:ilvl w:val="0"/>
          <w:numId w:val="1"/>
        </w:numPr>
        <w:rPr>
          <w:rFonts w:ascii="Cambria" w:hAnsi="Cambria"/>
        </w:rPr>
      </w:pPr>
      <w:r>
        <w:rPr>
          <w:rFonts w:ascii="Cambria" w:hAnsi="Cambria"/>
        </w:rPr>
        <w:t xml:space="preserve">Bear a certain amount of financial risk; and </w:t>
      </w:r>
    </w:p>
    <w:p w:rsidR="007D44CF" w:rsidRDefault="007D44CF" w:rsidP="007D44CF">
      <w:pPr>
        <w:pStyle w:val="NoSpacing"/>
        <w:numPr>
          <w:ilvl w:val="0"/>
          <w:numId w:val="1"/>
        </w:numPr>
        <w:rPr>
          <w:rFonts w:ascii="Cambria" w:hAnsi="Cambria"/>
        </w:rPr>
      </w:pPr>
      <w:r w:rsidRPr="00CF0AF3">
        <w:rPr>
          <w:rFonts w:ascii="Cambria" w:hAnsi="Cambria"/>
        </w:rPr>
        <w:t>Provide payment based on quality measures comparable to those used in the MIPS quality performances category</w:t>
      </w:r>
      <w:r>
        <w:rPr>
          <w:rFonts w:ascii="Cambria" w:hAnsi="Cambria"/>
        </w:rPr>
        <w:t>.</w:t>
      </w:r>
    </w:p>
    <w:p w:rsidR="007D44CF" w:rsidRDefault="007D44CF" w:rsidP="007D44CF">
      <w:pPr>
        <w:pStyle w:val="NoSpacing"/>
        <w:rPr>
          <w:rFonts w:ascii="Cambria" w:hAnsi="Cambria"/>
        </w:rPr>
      </w:pPr>
    </w:p>
    <w:p w:rsidR="007D44CF" w:rsidRDefault="007D44CF" w:rsidP="007D44CF">
      <w:pPr>
        <w:pStyle w:val="NoSpacing"/>
        <w:rPr>
          <w:rFonts w:ascii="Cambria" w:hAnsi="Cambria"/>
        </w:rPr>
      </w:pPr>
      <w:r>
        <w:rPr>
          <w:rFonts w:ascii="Cambria" w:hAnsi="Cambria"/>
        </w:rPr>
        <w:t>The proposed rule includes a list of current models that would qualify under the terms of the proposed rule as Advanced APMs. These include:</w:t>
      </w:r>
    </w:p>
    <w:p w:rsidR="007D44CF" w:rsidRDefault="007D44CF" w:rsidP="007D44CF">
      <w:pPr>
        <w:pStyle w:val="NoSpacing"/>
        <w:rPr>
          <w:rFonts w:ascii="Cambria" w:hAnsi="Cambria"/>
        </w:rPr>
      </w:pPr>
    </w:p>
    <w:p w:rsidR="007D44CF" w:rsidRDefault="007D44CF" w:rsidP="007D44CF">
      <w:pPr>
        <w:pStyle w:val="NoSpacing"/>
        <w:numPr>
          <w:ilvl w:val="0"/>
          <w:numId w:val="2"/>
        </w:numPr>
        <w:rPr>
          <w:rFonts w:ascii="Cambria" w:hAnsi="Cambria"/>
        </w:rPr>
      </w:pPr>
      <w:r>
        <w:rPr>
          <w:rFonts w:ascii="Cambria" w:hAnsi="Cambria"/>
        </w:rPr>
        <w:t xml:space="preserve">Comprehensive ESRD Care Model (Large Dialysis Organization Arrangement) </w:t>
      </w:r>
    </w:p>
    <w:p w:rsidR="007D44CF" w:rsidRDefault="007D44CF" w:rsidP="007D44CF">
      <w:pPr>
        <w:pStyle w:val="NoSpacing"/>
        <w:numPr>
          <w:ilvl w:val="0"/>
          <w:numId w:val="2"/>
        </w:numPr>
        <w:rPr>
          <w:rFonts w:ascii="Cambria" w:hAnsi="Cambria"/>
        </w:rPr>
      </w:pPr>
      <w:r>
        <w:rPr>
          <w:rFonts w:ascii="Cambria" w:hAnsi="Cambria"/>
        </w:rPr>
        <w:t xml:space="preserve">Medicare Shared Savings Program— Tracks 2 and 3 </w:t>
      </w:r>
    </w:p>
    <w:p w:rsidR="007D44CF" w:rsidRDefault="007D44CF" w:rsidP="007D44CF">
      <w:pPr>
        <w:pStyle w:val="NoSpacing"/>
        <w:numPr>
          <w:ilvl w:val="0"/>
          <w:numId w:val="2"/>
        </w:numPr>
        <w:rPr>
          <w:rFonts w:ascii="Cambria" w:hAnsi="Cambria"/>
        </w:rPr>
      </w:pPr>
      <w:r>
        <w:rPr>
          <w:rFonts w:ascii="Cambria" w:hAnsi="Cambria"/>
        </w:rPr>
        <w:t xml:space="preserve">Next Generation ACO Model </w:t>
      </w:r>
    </w:p>
    <w:p w:rsidR="007D44CF" w:rsidRDefault="007D44CF" w:rsidP="007D44CF">
      <w:pPr>
        <w:pStyle w:val="NoSpacing"/>
        <w:numPr>
          <w:ilvl w:val="0"/>
          <w:numId w:val="2"/>
        </w:numPr>
        <w:rPr>
          <w:rFonts w:ascii="Cambria" w:hAnsi="Cambria"/>
        </w:rPr>
      </w:pPr>
      <w:r>
        <w:rPr>
          <w:rFonts w:ascii="Cambria" w:hAnsi="Cambria"/>
        </w:rPr>
        <w:t>Comprehensive Primary Care Plus (CPC+)</w:t>
      </w:r>
    </w:p>
    <w:p w:rsidR="007D44CF" w:rsidRDefault="007D44CF" w:rsidP="007D44CF">
      <w:pPr>
        <w:pStyle w:val="NoSpacing"/>
        <w:numPr>
          <w:ilvl w:val="0"/>
          <w:numId w:val="2"/>
        </w:numPr>
        <w:rPr>
          <w:rFonts w:ascii="Cambria" w:hAnsi="Cambria"/>
        </w:rPr>
      </w:pPr>
      <w:r>
        <w:rPr>
          <w:rFonts w:ascii="Cambria" w:hAnsi="Cambria"/>
        </w:rPr>
        <w:t xml:space="preserve">Oncology Care Model Two-Sided Risk Arrangement </w:t>
      </w:r>
    </w:p>
    <w:p w:rsidR="007D44CF" w:rsidRDefault="007D44CF" w:rsidP="007D44CF">
      <w:pPr>
        <w:pStyle w:val="NoSpacing"/>
        <w:rPr>
          <w:rFonts w:ascii="Cambria" w:hAnsi="Cambria"/>
        </w:rPr>
      </w:pPr>
    </w:p>
    <w:p w:rsidR="007D44CF" w:rsidRPr="00CF0AF3" w:rsidRDefault="007D44CF" w:rsidP="007D44CF">
      <w:pPr>
        <w:pStyle w:val="NoSpacing"/>
        <w:rPr>
          <w:rFonts w:ascii="Cambria" w:hAnsi="Cambria"/>
        </w:rPr>
      </w:pPr>
      <w:r>
        <w:rPr>
          <w:rFonts w:ascii="Cambria" w:hAnsi="Cambria"/>
        </w:rPr>
        <w:t xml:space="preserve">CMS continues to develop new Advanced APMs, such as one that would concentrate on chronic conditions, and works to turn others, such as the Comprehensive Care for Joint Replacement (CJR) model into Advanced AMPs in the future. </w:t>
      </w:r>
    </w:p>
    <w:p w:rsidR="007D44CF" w:rsidRDefault="007D44CF">
      <w:pPr>
        <w:rPr>
          <w:rFonts w:asciiTheme="majorHAnsi" w:hAnsiTheme="majorHAnsi"/>
          <w:color w:val="984806" w:themeColor="accent6" w:themeShade="80"/>
          <w:sz w:val="48"/>
          <w:szCs w:val="48"/>
        </w:rPr>
      </w:pPr>
    </w:p>
    <w:p w:rsidR="007D44CF" w:rsidRPr="007D44CF" w:rsidRDefault="007D44CF">
      <w:pPr>
        <w:rPr>
          <w:rFonts w:asciiTheme="majorHAnsi" w:hAnsiTheme="majorHAnsi"/>
          <w:color w:val="984806" w:themeColor="accent6" w:themeShade="80"/>
          <w:sz w:val="48"/>
          <w:szCs w:val="48"/>
        </w:rPr>
      </w:pPr>
    </w:p>
    <w:sectPr w:rsidR="007D44CF" w:rsidRPr="007D44CF" w:rsidSect="007D44C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CF" w:rsidRDefault="007D44CF" w:rsidP="007D44CF">
      <w:pPr>
        <w:spacing w:after="0" w:line="240" w:lineRule="auto"/>
      </w:pPr>
      <w:r>
        <w:separator/>
      </w:r>
    </w:p>
  </w:endnote>
  <w:endnote w:type="continuationSeparator" w:id="0">
    <w:p w:rsidR="007D44CF" w:rsidRDefault="007D44CF" w:rsidP="007D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CF" w:rsidRDefault="007D44CF" w:rsidP="007D44CF">
      <w:pPr>
        <w:spacing w:after="0" w:line="240" w:lineRule="auto"/>
      </w:pPr>
      <w:r>
        <w:separator/>
      </w:r>
    </w:p>
  </w:footnote>
  <w:footnote w:type="continuationSeparator" w:id="0">
    <w:p w:rsidR="007D44CF" w:rsidRDefault="007D44CF" w:rsidP="007D4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CF" w:rsidRDefault="007D44CF">
    <w:pPr>
      <w:pStyle w:val="Header"/>
    </w:pPr>
    <w:r>
      <w:rPr>
        <w:rFonts w:ascii="Times New Roman" w:hAnsi="Times New Roman"/>
        <w:noProof/>
        <w:sz w:val="24"/>
        <w:szCs w:val="24"/>
      </w:rPr>
      <w:drawing>
        <wp:anchor distT="0" distB="0" distL="114300" distR="114300" simplePos="0" relativeHeight="251659264" behindDoc="1" locked="0" layoutInCell="1" allowOverlap="1" wp14:anchorId="7221ACB2" wp14:editId="10EB0AE6">
          <wp:simplePos x="0" y="0"/>
          <wp:positionH relativeFrom="column">
            <wp:posOffset>-228600</wp:posOffset>
          </wp:positionH>
          <wp:positionV relativeFrom="paragraph">
            <wp:posOffset>-247650</wp:posOffset>
          </wp:positionV>
          <wp:extent cx="2324735" cy="590550"/>
          <wp:effectExtent l="0" t="0" r="0" b="0"/>
          <wp:wrapThrough wrapText="bothSides">
            <wp:wrapPolygon edited="0">
              <wp:start x="0" y="0"/>
              <wp:lineTo x="0" y="20903"/>
              <wp:lineTo x="21417" y="20903"/>
              <wp:lineTo x="21417" y="0"/>
              <wp:lineTo x="0" y="0"/>
            </wp:wrapPolygon>
          </wp:wrapThrough>
          <wp:docPr id="1" name="Picture 1" descr="Description: logo_a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adam"/>
                  <pic:cNvPicPr>
                    <a:picLocks noChangeAspect="1" noChangeArrowheads="1"/>
                  </pic:cNvPicPr>
                </pic:nvPicPr>
                <pic:blipFill rotWithShape="1">
                  <a:blip r:embed="rId1">
                    <a:extLst>
                      <a:ext uri="{28A0092B-C50C-407E-A947-70E740481C1C}">
                        <a14:useLocalDpi xmlns:a14="http://schemas.microsoft.com/office/drawing/2010/main" val="0"/>
                      </a:ext>
                    </a:extLst>
                  </a:blip>
                  <a:srcRect b="38431"/>
                  <a:stretch/>
                </pic:blipFill>
                <pic:spPr bwMode="auto">
                  <a:xfrm>
                    <a:off x="0" y="0"/>
                    <a:ext cx="232473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354"/>
    <w:multiLevelType w:val="hybridMultilevel"/>
    <w:tmpl w:val="B75E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59047F"/>
    <w:multiLevelType w:val="hybridMultilevel"/>
    <w:tmpl w:val="6CEA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CF"/>
    <w:rsid w:val="00012B0F"/>
    <w:rsid w:val="0001489B"/>
    <w:rsid w:val="000232F6"/>
    <w:rsid w:val="0002566F"/>
    <w:rsid w:val="00025A32"/>
    <w:rsid w:val="00025E8C"/>
    <w:rsid w:val="00035750"/>
    <w:rsid w:val="000371DF"/>
    <w:rsid w:val="0006160E"/>
    <w:rsid w:val="0006338F"/>
    <w:rsid w:val="000A0DF0"/>
    <w:rsid w:val="000A714D"/>
    <w:rsid w:val="000A7C9B"/>
    <w:rsid w:val="000B1067"/>
    <w:rsid w:val="000F50D3"/>
    <w:rsid w:val="000F5E0B"/>
    <w:rsid w:val="001064F6"/>
    <w:rsid w:val="0012647C"/>
    <w:rsid w:val="0013138D"/>
    <w:rsid w:val="0014142D"/>
    <w:rsid w:val="0014236D"/>
    <w:rsid w:val="00164F80"/>
    <w:rsid w:val="001650FE"/>
    <w:rsid w:val="001976AA"/>
    <w:rsid w:val="001D5ABD"/>
    <w:rsid w:val="00211155"/>
    <w:rsid w:val="002708A4"/>
    <w:rsid w:val="002A5A8C"/>
    <w:rsid w:val="002C5339"/>
    <w:rsid w:val="0032279E"/>
    <w:rsid w:val="003259FC"/>
    <w:rsid w:val="003275D7"/>
    <w:rsid w:val="00345810"/>
    <w:rsid w:val="003465D6"/>
    <w:rsid w:val="003715A0"/>
    <w:rsid w:val="00375C87"/>
    <w:rsid w:val="003900D1"/>
    <w:rsid w:val="003C3E12"/>
    <w:rsid w:val="003C5FC4"/>
    <w:rsid w:val="003E2643"/>
    <w:rsid w:val="00415D78"/>
    <w:rsid w:val="0042065E"/>
    <w:rsid w:val="00424F02"/>
    <w:rsid w:val="00493C9E"/>
    <w:rsid w:val="004972CD"/>
    <w:rsid w:val="004A572D"/>
    <w:rsid w:val="004A6CEF"/>
    <w:rsid w:val="00553128"/>
    <w:rsid w:val="005604A4"/>
    <w:rsid w:val="00560F1E"/>
    <w:rsid w:val="005623AE"/>
    <w:rsid w:val="005718F5"/>
    <w:rsid w:val="00575A9A"/>
    <w:rsid w:val="00576062"/>
    <w:rsid w:val="0057638F"/>
    <w:rsid w:val="00580429"/>
    <w:rsid w:val="005873D1"/>
    <w:rsid w:val="005A333A"/>
    <w:rsid w:val="005B0199"/>
    <w:rsid w:val="005C14E6"/>
    <w:rsid w:val="005D091A"/>
    <w:rsid w:val="005D0FD2"/>
    <w:rsid w:val="005D4EFD"/>
    <w:rsid w:val="005F45F9"/>
    <w:rsid w:val="005F5358"/>
    <w:rsid w:val="005F6281"/>
    <w:rsid w:val="00615B60"/>
    <w:rsid w:val="00646B54"/>
    <w:rsid w:val="006477DE"/>
    <w:rsid w:val="0065099D"/>
    <w:rsid w:val="006541B2"/>
    <w:rsid w:val="00662E8B"/>
    <w:rsid w:val="006910BD"/>
    <w:rsid w:val="006A55EF"/>
    <w:rsid w:val="006B6136"/>
    <w:rsid w:val="006B651D"/>
    <w:rsid w:val="006C541B"/>
    <w:rsid w:val="006E2886"/>
    <w:rsid w:val="006E7DE1"/>
    <w:rsid w:val="0070772B"/>
    <w:rsid w:val="00740DAD"/>
    <w:rsid w:val="0074621E"/>
    <w:rsid w:val="007561C0"/>
    <w:rsid w:val="007843FF"/>
    <w:rsid w:val="007A14F3"/>
    <w:rsid w:val="007A4862"/>
    <w:rsid w:val="007D28E7"/>
    <w:rsid w:val="007D44CF"/>
    <w:rsid w:val="007E3CAD"/>
    <w:rsid w:val="008222BB"/>
    <w:rsid w:val="00823104"/>
    <w:rsid w:val="00854BB5"/>
    <w:rsid w:val="008706B3"/>
    <w:rsid w:val="00874FBB"/>
    <w:rsid w:val="00877FEF"/>
    <w:rsid w:val="00895E0E"/>
    <w:rsid w:val="008A0960"/>
    <w:rsid w:val="008A7CBD"/>
    <w:rsid w:val="008B5D98"/>
    <w:rsid w:val="008D28A8"/>
    <w:rsid w:val="008D7CD3"/>
    <w:rsid w:val="008E4FFC"/>
    <w:rsid w:val="008F0106"/>
    <w:rsid w:val="008F0D8B"/>
    <w:rsid w:val="008F3A18"/>
    <w:rsid w:val="00920AC7"/>
    <w:rsid w:val="00930A90"/>
    <w:rsid w:val="0093255B"/>
    <w:rsid w:val="00940094"/>
    <w:rsid w:val="00942458"/>
    <w:rsid w:val="00942853"/>
    <w:rsid w:val="00964309"/>
    <w:rsid w:val="009A194C"/>
    <w:rsid w:val="009C4091"/>
    <w:rsid w:val="009D6BAA"/>
    <w:rsid w:val="00A00B2C"/>
    <w:rsid w:val="00A063A4"/>
    <w:rsid w:val="00A279F1"/>
    <w:rsid w:val="00A50014"/>
    <w:rsid w:val="00A50F14"/>
    <w:rsid w:val="00A76B9E"/>
    <w:rsid w:val="00AB2A9A"/>
    <w:rsid w:val="00AB396E"/>
    <w:rsid w:val="00AC0CB9"/>
    <w:rsid w:val="00AD04B0"/>
    <w:rsid w:val="00AD2206"/>
    <w:rsid w:val="00AD521A"/>
    <w:rsid w:val="00AE0A16"/>
    <w:rsid w:val="00AE28A9"/>
    <w:rsid w:val="00AE4FD1"/>
    <w:rsid w:val="00B173D8"/>
    <w:rsid w:val="00B4515C"/>
    <w:rsid w:val="00B5126B"/>
    <w:rsid w:val="00B57102"/>
    <w:rsid w:val="00BB715D"/>
    <w:rsid w:val="00BC26A2"/>
    <w:rsid w:val="00BD11FD"/>
    <w:rsid w:val="00BD3B96"/>
    <w:rsid w:val="00BF2414"/>
    <w:rsid w:val="00C02F15"/>
    <w:rsid w:val="00C20B9A"/>
    <w:rsid w:val="00C228EC"/>
    <w:rsid w:val="00C34C73"/>
    <w:rsid w:val="00C37167"/>
    <w:rsid w:val="00C51869"/>
    <w:rsid w:val="00C65AE2"/>
    <w:rsid w:val="00C745F9"/>
    <w:rsid w:val="00C92764"/>
    <w:rsid w:val="00CA0101"/>
    <w:rsid w:val="00CA1E50"/>
    <w:rsid w:val="00CB12D4"/>
    <w:rsid w:val="00CB3CCD"/>
    <w:rsid w:val="00CD6731"/>
    <w:rsid w:val="00CF1B28"/>
    <w:rsid w:val="00CF5BBE"/>
    <w:rsid w:val="00D06CA3"/>
    <w:rsid w:val="00D13FFC"/>
    <w:rsid w:val="00D140EE"/>
    <w:rsid w:val="00D15B87"/>
    <w:rsid w:val="00D22290"/>
    <w:rsid w:val="00D23645"/>
    <w:rsid w:val="00D408F8"/>
    <w:rsid w:val="00D4432D"/>
    <w:rsid w:val="00D63676"/>
    <w:rsid w:val="00D95789"/>
    <w:rsid w:val="00D9764C"/>
    <w:rsid w:val="00DA7288"/>
    <w:rsid w:val="00DB0F1E"/>
    <w:rsid w:val="00DC1368"/>
    <w:rsid w:val="00DC610F"/>
    <w:rsid w:val="00DD2D37"/>
    <w:rsid w:val="00DD3208"/>
    <w:rsid w:val="00DF42E4"/>
    <w:rsid w:val="00E03D6D"/>
    <w:rsid w:val="00E05ABC"/>
    <w:rsid w:val="00E118F7"/>
    <w:rsid w:val="00E13329"/>
    <w:rsid w:val="00E50682"/>
    <w:rsid w:val="00E66E3C"/>
    <w:rsid w:val="00E80B27"/>
    <w:rsid w:val="00E87AF4"/>
    <w:rsid w:val="00E90542"/>
    <w:rsid w:val="00EA03D4"/>
    <w:rsid w:val="00EA4CC5"/>
    <w:rsid w:val="00EC29F3"/>
    <w:rsid w:val="00EC4D07"/>
    <w:rsid w:val="00ED04E6"/>
    <w:rsid w:val="00EF5A5E"/>
    <w:rsid w:val="00F01ADE"/>
    <w:rsid w:val="00F15C89"/>
    <w:rsid w:val="00F2617A"/>
    <w:rsid w:val="00F31192"/>
    <w:rsid w:val="00F4168C"/>
    <w:rsid w:val="00F430E3"/>
    <w:rsid w:val="00F468DA"/>
    <w:rsid w:val="00F754E3"/>
    <w:rsid w:val="00F84216"/>
    <w:rsid w:val="00F92F83"/>
    <w:rsid w:val="00F94A98"/>
    <w:rsid w:val="00FA0FE9"/>
    <w:rsid w:val="00FB23B2"/>
    <w:rsid w:val="00FD69BF"/>
    <w:rsid w:val="00FE34B6"/>
    <w:rsid w:val="00FE7705"/>
    <w:rsid w:val="00FF7133"/>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CF"/>
  </w:style>
  <w:style w:type="paragraph" w:styleId="Footer">
    <w:name w:val="footer"/>
    <w:basedOn w:val="Normal"/>
    <w:link w:val="FooterChar"/>
    <w:uiPriority w:val="99"/>
    <w:unhideWhenUsed/>
    <w:rsid w:val="007D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CF"/>
  </w:style>
  <w:style w:type="paragraph" w:styleId="NoSpacing">
    <w:name w:val="No Spacing"/>
    <w:uiPriority w:val="1"/>
    <w:qFormat/>
    <w:rsid w:val="007D44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CF"/>
  </w:style>
  <w:style w:type="paragraph" w:styleId="Footer">
    <w:name w:val="footer"/>
    <w:basedOn w:val="Normal"/>
    <w:link w:val="FooterChar"/>
    <w:uiPriority w:val="99"/>
    <w:unhideWhenUsed/>
    <w:rsid w:val="007D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CF"/>
  </w:style>
  <w:style w:type="paragraph" w:styleId="NoSpacing">
    <w:name w:val="No Spacing"/>
    <w:uiPriority w:val="1"/>
    <w:qFormat/>
    <w:rsid w:val="007D4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VOS</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Brigham</dc:creator>
  <cp:lastModifiedBy>Diane Turpin</cp:lastModifiedBy>
  <cp:revision>2</cp:revision>
  <dcterms:created xsi:type="dcterms:W3CDTF">2016-08-02T17:53:00Z</dcterms:created>
  <dcterms:modified xsi:type="dcterms:W3CDTF">2016-08-02T17:53:00Z</dcterms:modified>
</cp:coreProperties>
</file>